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21,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333-267261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POST-EFFECTIVE AMENDMENT NO. 1 TO FORM S-3</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REGISTRATION STATEMENT NO. 333-267261</w:t>
      </w: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FARO Technologies,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8"/>
                <w:szCs w:val="18"/>
                <w:b w:val="1"/>
                <w:bCs w:val="1"/>
                <w:color w:val="auto"/>
              </w:rPr>
              <w:t>59-3157093</w:t>
            </w:r>
          </w:p>
        </w:tc>
      </w:tr>
      <w:tr>
        <w:trPr>
          <w:trHeight w:val="148"/>
        </w:trPr>
        <w:tc>
          <w:tcPr>
            <w:tcW w:w="390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9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 Technology Park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Lake Mary, Florida 32746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(407) 333-9911</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6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Peter J. Lau</w:t>
            </w:r>
          </w:p>
        </w:tc>
        <w:tc>
          <w:tcPr>
            <w:tcW w:w="26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With a copy to:</w:t>
            </w:r>
          </w:p>
        </w:tc>
      </w:tr>
      <w:tr>
        <w:trPr>
          <w:trHeight w:val="216"/>
        </w:trPr>
        <w:tc>
          <w:tcPr>
            <w:tcW w:w="66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26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Jonathan P. Witt</w:t>
            </w:r>
          </w:p>
        </w:tc>
      </w:tr>
      <w:tr>
        <w:trPr>
          <w:trHeight w:val="216"/>
        </w:trPr>
        <w:tc>
          <w:tcPr>
            <w:tcW w:w="66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Faro Technologies, Inc.</w:t>
            </w:r>
          </w:p>
        </w:tc>
        <w:tc>
          <w:tcPr>
            <w:tcW w:w="26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Garrett F. Bishop</w:t>
            </w:r>
          </w:p>
        </w:tc>
      </w:tr>
      <w:tr>
        <w:trPr>
          <w:trHeight w:val="216"/>
        </w:trPr>
        <w:tc>
          <w:tcPr>
            <w:tcW w:w="66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125 Technology Park</w:t>
            </w:r>
          </w:p>
        </w:tc>
        <w:tc>
          <w:tcPr>
            <w:tcW w:w="26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Foley &amp; Lardner LLP</w:t>
            </w:r>
          </w:p>
        </w:tc>
      </w:tr>
      <w:tr>
        <w:trPr>
          <w:trHeight w:val="216"/>
        </w:trPr>
        <w:tc>
          <w:tcPr>
            <w:tcW w:w="66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Lake Mary, Florida 32746</w:t>
            </w:r>
          </w:p>
        </w:tc>
        <w:tc>
          <w:tcPr>
            <w:tcW w:w="26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500 Woodward Avenue</w:t>
            </w:r>
          </w:p>
        </w:tc>
      </w:tr>
      <w:tr>
        <w:trPr>
          <w:trHeight w:val="214"/>
        </w:trPr>
        <w:tc>
          <w:tcPr>
            <w:tcW w:w="4340" w:type="dxa"/>
            <w:vAlign w:val="bottom"/>
          </w:tcPr>
          <w:p>
            <w:pPr>
              <w:jc w:val="center"/>
              <w:ind w:left="1194"/>
              <w:spacing w:after="0"/>
              <w:rPr>
                <w:sz w:val="20"/>
                <w:szCs w:val="20"/>
                <w:color w:val="auto"/>
              </w:rPr>
            </w:pPr>
            <w:r>
              <w:rPr>
                <w:rFonts w:ascii="Times New Roman" w:cs="Times New Roman" w:eastAsia="Times New Roman" w:hAnsi="Times New Roman"/>
                <w:sz w:val="18"/>
                <w:szCs w:val="18"/>
                <w:b w:val="1"/>
                <w:bCs w:val="1"/>
                <w:color w:val="auto"/>
                <w:w w:val="97"/>
              </w:rPr>
              <w:t>(407) 333-9911</w:t>
            </w:r>
          </w:p>
        </w:tc>
        <w:tc>
          <w:tcPr>
            <w:tcW w:w="2320" w:type="dxa"/>
            <w:vAlign w:val="bottom"/>
          </w:tcPr>
          <w:p>
            <w:pPr>
              <w:spacing w:after="0"/>
              <w:rPr>
                <w:sz w:val="18"/>
                <w:szCs w:val="18"/>
                <w:color w:val="auto"/>
              </w:rPr>
            </w:pPr>
          </w:p>
        </w:tc>
        <w:tc>
          <w:tcPr>
            <w:tcW w:w="26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Detroit, Michigan 48226</w:t>
            </w:r>
          </w:p>
        </w:tc>
      </w:tr>
      <w:tr>
        <w:trPr>
          <w:trHeight w:val="167"/>
        </w:trPr>
        <w:tc>
          <w:tcPr>
            <w:tcW w:w="666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w:t>
            </w:r>
          </w:p>
        </w:tc>
        <w:tc>
          <w:tcPr>
            <w:tcW w:w="2640" w:type="dxa"/>
            <w:vAlign w:val="bottom"/>
          </w:tcPr>
          <w:p>
            <w:pPr>
              <w:jc w:val="center"/>
              <w:ind w:left="690"/>
              <w:spacing w:after="0" w:line="167" w:lineRule="exact"/>
              <w:rPr>
                <w:sz w:val="20"/>
                <w:szCs w:val="20"/>
                <w:color w:val="auto"/>
              </w:rPr>
            </w:pPr>
            <w:r>
              <w:rPr>
                <w:rFonts w:ascii="Times New Roman" w:cs="Times New Roman" w:eastAsia="Times New Roman" w:hAnsi="Times New Roman"/>
                <w:sz w:val="18"/>
                <w:szCs w:val="18"/>
                <w:b w:val="1"/>
                <w:bCs w:val="1"/>
                <w:color w:val="auto"/>
                <w:w w:val="99"/>
              </w:rPr>
              <w:t>313-234-7100</w:t>
            </w:r>
          </w:p>
        </w:tc>
      </w:tr>
      <w:tr>
        <w:trPr>
          <w:trHeight w:val="190"/>
        </w:trPr>
        <w:tc>
          <w:tcPr>
            <w:tcW w:w="666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2640" w:type="dxa"/>
            <w:vAlign w:val="bottom"/>
          </w:tcPr>
          <w:p>
            <w:pPr>
              <w:spacing w:after="0"/>
              <w:rPr>
                <w:sz w:val="16"/>
                <w:szCs w:val="16"/>
                <w:color w:val="auto"/>
              </w:rPr>
            </w:pPr>
          </w:p>
        </w:tc>
      </w:tr>
      <w:tr>
        <w:trPr>
          <w:trHeight w:val="343"/>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640" w:type="dxa"/>
            <w:vAlign w:val="bottom"/>
          </w:tcPr>
          <w:p>
            <w:pPr>
              <w:spacing w:after="0"/>
              <w:rPr>
                <w:sz w:val="24"/>
                <w:szCs w:val="24"/>
                <w:color w:val="auto"/>
              </w:rPr>
            </w:pPr>
          </w:p>
        </w:tc>
      </w:tr>
      <w:tr>
        <w:trPr>
          <w:trHeight w:val="42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Approximate date of commencement of proposed sale to the public: </w:t>
            </w:r>
            <w:r>
              <w:rPr>
                <w:rFonts w:ascii="Times New Roman" w:cs="Times New Roman" w:eastAsia="Times New Roman" w:hAnsi="Times New Roman"/>
                <w:sz w:val="18"/>
                <w:szCs w:val="18"/>
                <w:b w:val="1"/>
                <w:bCs w:val="1"/>
                <w:color w:val="auto"/>
              </w:rPr>
              <w:t>Not Applicable.</w:t>
            </w:r>
          </w:p>
        </w:tc>
        <w:tc>
          <w:tcPr>
            <w:tcW w:w="26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ectPr>
          <w:pgSz w:w="11900" w:h="16864" w:orient="portrait"/>
          <w:cols w:equalWidth="0" w:num="1">
            <w:col w:w="11020"/>
          </w:cols>
          <w:pgMar w:left="440" w:top="225" w:right="439" w:bottom="0" w:gutter="0" w:footer="0" w:header="0"/>
        </w:sectPr>
      </w:pPr>
    </w:p>
    <w:bookmarkStart w:id="1" w:name="page2"/>
    <w:bookmarkEnd w:id="1"/>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jc w:val="both"/>
        <w:ind w:right="60" w:firstLine="440"/>
        <w:spacing w:after="0" w:line="258"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FARO Technologies, Inc. (the “Registrant”) is filing this post-effective amendment (the “Post-Effective Amendment”) to Registration Statement </w:t>
      </w:r>
      <w:hyperlink r:id="rId18">
        <w:r>
          <w:rPr>
            <w:rFonts w:ascii="Times New Roman" w:cs="Times New Roman" w:eastAsia="Times New Roman" w:hAnsi="Times New Roman"/>
            <w:sz w:val="18"/>
            <w:szCs w:val="18"/>
            <w:u w:val="single" w:color="auto"/>
            <w:color w:val="0000EE"/>
          </w:rPr>
          <w:t>No. 333-267261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Form S-3 filed with the Securities and Exchange Commission (the “SEC”) on September 2, 2022, as amended by the Pre-effective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Amendment No. 1 filed with the SEC on </w:t>
      </w:r>
      <w:hyperlink r:id="rId19">
        <w:r>
          <w:rPr>
            <w:rFonts w:ascii="Times New Roman" w:cs="Times New Roman" w:eastAsia="Times New Roman" w:hAnsi="Times New Roman"/>
            <w:sz w:val="18"/>
            <w:szCs w:val="18"/>
            <w:u w:val="single" w:color="auto"/>
            <w:color w:val="0000EE"/>
          </w:rPr>
          <w:t>November 4,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(the “Registration Statement”), registering the resale of 495,562 shares of common stock, par value $0.001 per share, of the Registrant (“Common Stock”) by the selling shareholders named therein, to deregister any and all shares of Common Stock, registered but unsold under the Registration Statement as of the date hereof.</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July 21, 2025, the Registrant completed its previously announced merger (the “Merger”) with AMETEK TP, Inc., a Delaware corporation (“Merger Sub”) and a wholly owned subsidiary of AMETEK, Inc., a Delaware corporation (“Parent”), pursuant to the terms of that certain Agreement and Plan of Merger, dated as of May 5, 2025, by and among the Registrant, Parent and Merger Sub (the “Merger Agreement”). The Registrant was the surviving corporation in the Merger and, as a result of the Merger, has become a wholly owned subsidiary of Parent. In connection therewith, each share of Common Stock issued and outstanding immediately prior to the effective time of the Merger (other than shares held by the Registrant as treasury stock or held directly by Parent or Merger Sub or any direct or indirect wholly owned subsidiary of the Registrant, Parent or Merger Sub) was automatically converted into the right to receive cash in an amount equal to $44.00 per share, without interest, subject to any required withholding of taxes.</w:t>
      </w:r>
    </w:p>
    <w:p>
      <w:pPr>
        <w:spacing w:after="0" w:line="192" w:lineRule="exact"/>
        <w:rPr>
          <w:sz w:val="20"/>
          <w:szCs w:val="20"/>
          <w:color w:val="auto"/>
        </w:rPr>
      </w:pPr>
    </w:p>
    <w:p>
      <w:pPr>
        <w:jc w:val="both"/>
        <w:ind w:right="40" w:firstLine="4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description of the Merger, the Merger Agreement and the transactions contemplated thereby does not purport to be complete and is subject to, and qualified in its entirety by, the Merger Agreement, which is attached as </w:t>
      </w:r>
      <w:hyperlink r:id="rId20">
        <w:r>
          <w:rPr>
            <w:rFonts w:ascii="Times New Roman" w:cs="Times New Roman" w:eastAsia="Times New Roman" w:hAnsi="Times New Roman"/>
            <w:sz w:val="18"/>
            <w:szCs w:val="18"/>
            <w:u w:val="single" w:color="auto"/>
            <w:color w:val="0000EE"/>
          </w:rPr>
          <w:t>Exhibit 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Current Report on Form 8-K filed with the SEC on May 7, 2025.</w:t>
      </w:r>
    </w:p>
    <w:p>
      <w:pPr>
        <w:spacing w:after="0" w:line="176"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Merger, the Registrant has terminated all offerings of securities pursuant to the Registration Statement. In accordance with the undertakings contained in the Registration Statement to remove from registration, by means of a post-effective amendment, any and all securities registered but unsold at the termination of such offerings, the Registrant hereby removes from registration any and all shares of Common Stock registered but unsold under the Registration Statement as of the date hereof and terminates the effectiveness of the Registration Statement.</w:t>
      </w:r>
    </w:p>
    <w:p>
      <w:pPr>
        <w:sectPr>
          <w:pgSz w:w="11900" w:h="16838" w:orient="portrait"/>
          <w:cols w:equalWidth="0" w:num="1">
            <w:col w:w="10960"/>
          </w:cols>
          <w:pgMar w:left="440" w:top="266" w:right="49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this Post-Effective Amendment No. 1 to the Registration Statement and has duly caused this Post-Effective Amendment No. 1 to the Registration Statement to be signed on its behalf by the undersigned, thereunto duly authorized, in the City of Lake Mary, State of Florida, on July 21, 2025.</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FARO TECHNOLOGIES, INC.</w:t>
      </w:r>
    </w:p>
    <w:p>
      <w:pPr>
        <w:spacing w:after="0" w:line="225" w:lineRule="exact"/>
        <w:rPr>
          <w:sz w:val="20"/>
          <w:szCs w:val="20"/>
          <w:color w:val="auto"/>
        </w:rPr>
      </w:pPr>
    </w:p>
    <w:p>
      <w:pPr>
        <w:ind w:left="6620"/>
        <w:spacing w:after="0"/>
        <w:tabs>
          <w:tab w:leader="none" w:pos="7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J. 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17145</wp:posOffset>
            </wp:positionV>
            <wp:extent cx="25374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Peter J. Lau</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No. 1 to the Registration Statement in reliance upon Rule 478 under the Securities Act of 1933, as amended.</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8" Type="http://schemas.openxmlformats.org/officeDocument/2006/relationships/hyperlink" Target="http://www.sec.gov/Archives/edgar/data/917491/000162828022024276/faro-sx3.htm" TargetMode="External"/><Relationship Id="rId19" Type="http://schemas.openxmlformats.org/officeDocument/2006/relationships/hyperlink" Target="http://www.sec.gov/Archives/edgar/data/917491/000162828022028329/faro-sx3prexeffectiveamend.htm" TargetMode="External"/><Relationship Id="rId20" Type="http://schemas.openxmlformats.org/officeDocument/2006/relationships/hyperlink" Target="http://www.sec.gov/Archives/edgar/data/917491/000119312525114972/d889967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2025-07-21T08:38:46Z</dcterms:created>
  <dcterms:modified xsi:type="dcterms:W3CDTF">2025-07-21T08:38:46Z</dcterms:modified>
</cp:coreProperties>
</file>