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FARO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0-23081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59-3157093</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8"/>
          <w:szCs w:val="18"/>
          <w:b w:val="1"/>
          <w:bCs w:val="1"/>
          <w:color w:val="auto"/>
        </w:rPr>
        <w:t>125 Technology Park, Lake Mary, Florida 32746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(407) 333-9911</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FARO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FARO Technologies, Inc. (the “Company”) filed a Current Report on Form 8-K on July 21, 2025 (the “Original Form 8-K”) reporting, under Item 1.01, that the Company and U.S. Bank Trust Company, National Association, as trustee, entered into a First Supplemental Indenture, dated as of July 21, 2025 (the “Supplemental Indenture”). The Supplemental Indenture filed as Exhibit 4.2 to the Original Form 8-K contained a typographical error with respect to the amount of cash Holders have the right to receive per $1,000 principal amount of Notes held (as such terms are defined in the Supplemental Indenture). A corrected copy of the Supplemental Indenture is filed hereto as Exhibit 4.1. Other than the corrected Supplemental Indenture filed as Exhibit 4.1 hereto, no other disclosure in the Original Form 8-K is amended by this Form 8-K/A.</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ind w:left="680" w:right="780" w:hanging="687"/>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First Supplemental Indenture, dated as of July 21, 2025, between FARO Technologies, Inc. and U.S. Bank Trust Company, National Association.</w:t>
      </w:r>
    </w:p>
    <w:p>
      <w:pPr>
        <w:spacing w:after="0" w:line="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ind w:left="720"/>
        <w:spacing w:after="0"/>
        <w:tabs>
          <w:tab w:leader="none" w:pos="5600" w:val="left"/>
        </w:tabs>
        <w:rPr>
          <w:sz w:val="20"/>
          <w:szCs w:val="20"/>
          <w:color w:val="auto"/>
        </w:rPr>
      </w:pPr>
      <w:r>
        <w:rPr>
          <w:rFonts w:ascii="Times New Roman" w:cs="Times New Roman" w:eastAsia="Times New Roman" w:hAnsi="Times New Roman"/>
          <w:sz w:val="18"/>
          <w:szCs w:val="18"/>
          <w:color w:val="auto"/>
        </w:rPr>
        <w:t>July 24, 2025</w:t>
      </w:r>
      <w:r>
        <w:rPr>
          <w:sz w:val="20"/>
          <w:szCs w:val="20"/>
          <w:color w:val="auto"/>
        </w:rPr>
        <w:tab/>
      </w:r>
      <w:r>
        <w:rPr>
          <w:rFonts w:ascii="Times New Roman" w:cs="Times New Roman" w:eastAsia="Times New Roman" w:hAnsi="Times New Roman"/>
          <w:sz w:val="18"/>
          <w:szCs w:val="18"/>
          <w:color w:val="auto"/>
        </w:rPr>
        <w:t>/s/ Matthew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Matthew Horwath</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Its:</w:t>
        <w:tab/>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July 21,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the</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SUPPLEMENTAL INDENTURE</w:t>
      </w:r>
    </w:p>
    <w:p>
      <w:pPr>
        <w:spacing w:after="0" w:line="225"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This FIRST SUPPLEMENTAL INDENTURE (this “</w:t>
      </w:r>
      <w:r>
        <w:rPr>
          <w:rFonts w:ascii="Times New Roman" w:cs="Times New Roman" w:eastAsia="Times New Roman" w:hAnsi="Times New Roman"/>
          <w:sz w:val="17"/>
          <w:szCs w:val="17"/>
          <w:b w:val="1"/>
          <w:bCs w:val="1"/>
          <w:i w:val="1"/>
          <w:iCs w:val="1"/>
          <w:color w:val="auto"/>
        </w:rPr>
        <w:t>First Supplemental Indenture</w:t>
      </w:r>
      <w:r>
        <w:rPr>
          <w:rFonts w:ascii="Times New Roman" w:cs="Times New Roman" w:eastAsia="Times New Roman" w:hAnsi="Times New Roman"/>
          <w:sz w:val="17"/>
          <w:szCs w:val="17"/>
          <w:color w:val="auto"/>
        </w:rPr>
        <w:t>”), dated as of July 21, 2025, is by and between FARO Technologies, Inc., a Florida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U.S. Bank Trust Company, National Association, a national banking association, as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Capitalized terms used in but not defined herein shall have the same meanings as provided in the Indenture (as defined below).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and the Trustee have heretofore entered into that certain Indenture, dated as of January 24, 2023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pursuant to which the Company issued $75,000,000 aggregate principal amount of the Company’s 5.50% Convertible Senior Notes due 2028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AMETEK,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AMETEK TP, Inc., a Delaware corporation and a wholly-owned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entered into an Agreement and Plan of Merger, dated as of May 5,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providing for the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the Merger Agreement and subject to the terms and conditions therein, at the effective time of the Merger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 each share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outstanding immediately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Time, other than (a) Shares held by the Company as treasury stock or held directly by Parent or Merger Sub (or by direct or indirect wholly owned subsidiaries of the Company, Parent or Merger Sub), in each case, immediately prior to the Effective Time), and (b) Shares for which the holder thereof (i) has not voted in favor of the Merger or consented to it in writing and (ii) has validly demanded (and not withdrawn) the appraisal of such Shares in accordance with, and has complied in all respects with, the Florida Business Corporation Act will be automatically converted into the right to receive $44.00 per share in cash, without interest and less any applicable withholding of taxes;</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Merger constitutes a Business Combination Event, a Common Stock Change Event, a Fundamental Change and a Make-Whole Fundamental Change (the “</w:t>
      </w:r>
      <w:r>
        <w:rPr>
          <w:rFonts w:ascii="Times New Roman" w:cs="Times New Roman" w:eastAsia="Times New Roman" w:hAnsi="Times New Roman"/>
          <w:sz w:val="18"/>
          <w:szCs w:val="18"/>
          <w:b w:val="1"/>
          <w:bCs w:val="1"/>
          <w:i w:val="1"/>
          <w:iCs w:val="1"/>
          <w:color w:val="auto"/>
        </w:rPr>
        <w:t>Merger Make-Whole Fundamental Change</w:t>
      </w:r>
      <w:r>
        <w:rPr>
          <w:rFonts w:ascii="Times New Roman" w:cs="Times New Roman" w:eastAsia="Times New Roman" w:hAnsi="Times New Roman"/>
          <w:sz w:val="18"/>
          <w:szCs w:val="18"/>
          <w:color w:val="auto"/>
        </w:rPr>
        <w:t>”) under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may enter into a Business Combination Event subject to the provisions of Section 6.01 of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requirements of Section 6.01 of the Indenture have been satisfied;</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in connection with the Common Stock Change Event, Section 5.09(A) of the Indenture provides that prior to or at the Effective Time, the Company will execute with the Trustee a supplemental indenture, without the consent of Holders as permitted by Section 8.01(F), providing that at and after the Effective Time,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Common Stock Change Event would have owned or been entitled to receive (the “</w:t>
      </w:r>
      <w:r>
        <w:rPr>
          <w:rFonts w:ascii="Times New Roman" w:cs="Times New Roman" w:eastAsia="Times New Roman" w:hAnsi="Times New Roman"/>
          <w:sz w:val="18"/>
          <w:szCs w:val="18"/>
          <w:b w:val="1"/>
          <w:bCs w:val="1"/>
          <w:i w:val="1"/>
          <w:i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i w:val="1"/>
          <w:i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 entitled to receive) upon such Common Stock Change Event;</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Section 5.09 of the Indenture provides that if the holders of Common Stock receive only cash in a Common Stock Change Event, then for all conversions of Notes that occur after the Effective Time, (x) the consideration due upon conversion of each $1,000 principal amount of Notes shall be solely cash in an amount equal to the Conversion Rate in effect on the Conversion Date (as may be increased pursuant to Section 5.07), multiplied by the price paid per share of Common Stock in such Common Stock Change Event and (y) the Company shall satisfy the Conversion Obligation by paying cash to converting Holders on the fifth Business Day immediately following the relevant Conversion Date;</w:t>
      </w:r>
    </w:p>
    <w:p>
      <w:pPr>
        <w:sectPr>
          <w:pgSz w:w="11900" w:h="16838" w:orient="portrait"/>
          <w:cols w:equalWidth="0" w:num="1">
            <w:col w:w="10980"/>
          </w:cols>
          <w:pgMar w:left="440" w:top="266" w:right="479" w:bottom="1440" w:gutter="0" w:footer="0" w:header="0"/>
        </w:sectPr>
      </w:pPr>
    </w:p>
    <w:bookmarkStart w:id="5" w:name="page6"/>
    <w:bookmarkEnd w:id="5"/>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all conditions for the execution and delivery of this First Supplemental Indenture have been complied with or have been done or performed; and</w:t>
      </w:r>
    </w:p>
    <w:p>
      <w:pPr>
        <w:spacing w:after="0" w:line="162" w:lineRule="exact"/>
        <w:rPr>
          <w:sz w:val="20"/>
          <w:szCs w:val="20"/>
          <w:color w:val="auto"/>
        </w:rPr>
      </w:pPr>
    </w:p>
    <w:p>
      <w:pPr>
        <w:ind w:left="4" w:right="9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37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1.01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all purposes of this First Supplemental Indenture, except as otherwise herein expressly provided or unless the context otherwise requires:</w:t>
      </w:r>
    </w:p>
    <w:p>
      <w:pPr>
        <w:spacing w:after="0" w:line="27" w:lineRule="exact"/>
        <w:rPr>
          <w:sz w:val="20"/>
          <w:szCs w:val="20"/>
          <w:color w:val="auto"/>
        </w:rPr>
      </w:pPr>
    </w:p>
    <w:p>
      <w:pPr>
        <w:ind w:left="224" w:hanging="224"/>
        <w:spacing w:after="0"/>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terms and expressions used herein shall have the same meanings as corresponding terms and expressions used in the Indenture and</w:t>
      </w:r>
    </w:p>
    <w:p>
      <w:pPr>
        <w:spacing w:after="0" w:line="9" w:lineRule="exact"/>
        <w:rPr>
          <w:rFonts w:ascii="Times New Roman" w:cs="Times New Roman" w:eastAsia="Times New Roman" w:hAnsi="Times New Roman"/>
          <w:sz w:val="18"/>
          <w:szCs w:val="18"/>
          <w:color w:val="auto"/>
        </w:rPr>
      </w:pPr>
    </w:p>
    <w:p>
      <w:pPr>
        <w:ind w:left="4" w:right="900" w:hanging="4"/>
        <w:spacing w:after="0" w:line="26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“hereby” and other words of similar import used in this First Supplemental Indenture refer to this First Supplemental Indenture as a whole and not to any particular section hereof.</w:t>
      </w:r>
    </w:p>
    <w:p>
      <w:pPr>
        <w:spacing w:after="0" w:line="18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First Supplemental Indenture, a “unit of Reference Property” shall mean $44.00 in cash, without interest and “Reference Property” shall mean a number of units of Reference Property equal to the Conversion Rate in effect on the applicable Conversion Date (as may be increased pursuant to Section 5.07 of the Indenture).</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AMENDMENT OF INDENTURE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2.01 Conversion of the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right="100" w:firstLine="401"/>
        <w:spacing w:after="0" w:line="261" w:lineRule="auto"/>
        <w:rPr>
          <w:sz w:val="20"/>
          <w:szCs w:val="20"/>
          <w:color w:val="auto"/>
        </w:rPr>
      </w:pPr>
      <w:r>
        <w:rPr>
          <w:rFonts w:ascii="Times New Roman" w:cs="Times New Roman" w:eastAsia="Times New Roman" w:hAnsi="Times New Roman"/>
          <w:sz w:val="18"/>
          <w:szCs w:val="18"/>
          <w:color w:val="auto"/>
        </w:rPr>
        <w:t>i. At the Effective Time, the right to convert each $1,000 principal amount of Notes shall be changed into a right to convert such principal amount of Notes solely into a number of units of Reference Property equal to the Conversion Rate in effect on the Conversion Date (subject to any adjustments under Section 5.07 of the Original Indenture), with a “unit of Reference Property” being $44.00 in cash, without interest;</w:t>
      </w:r>
    </w:p>
    <w:p>
      <w:pPr>
        <w:spacing w:after="0" w:line="72" w:lineRule="exact"/>
        <w:rPr>
          <w:sz w:val="20"/>
          <w:szCs w:val="20"/>
          <w:color w:val="auto"/>
        </w:rPr>
      </w:pPr>
    </w:p>
    <w:p>
      <w:pPr>
        <w:ind w:left="984" w:firstLine="408"/>
        <w:spacing w:after="0" w:line="255" w:lineRule="auto"/>
        <w:tabs>
          <w:tab w:leader="none" w:pos="1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conversion in connection with the Merger Make-Whole Fundamental Change and during the applicable Make-Whole Fundamental Change Conversion Period as described in Section 5.01(C)(i)(3)(b) and Section 5.07 of the Original Indenture, Holders have the right to receive cash equal to $1,221.6952 per $1,000 principal amount of Notes, which is based on a Conversion Rate equal to (i) 23.6072 shares of Common Stock per $1,000 principal amount of Notes plus (ii) 4.1586 Additional Shares (as defined below) (which 4.1586 Additional Shares are payable as determined by reference to the table set forth in Section 5.07(A) of the Indenture based on the Effective Date of the Make-Whole Fundamental Change being July 21, 2025 and the Stock Price paid per share of Common Stock in the Make-Whole Fundamental Change being cash in amount equal to $44.00); and</w:t>
      </w:r>
    </w:p>
    <w:p>
      <w:pPr>
        <w:spacing w:after="0" w:line="80" w:lineRule="exact"/>
        <w:rPr>
          <w:rFonts w:ascii="Times New Roman" w:cs="Times New Roman" w:eastAsia="Times New Roman" w:hAnsi="Times New Roman"/>
          <w:sz w:val="18"/>
          <w:szCs w:val="18"/>
          <w:color w:val="auto"/>
        </w:rPr>
      </w:pPr>
    </w:p>
    <w:p>
      <w:pPr>
        <w:ind w:left="984" w:right="320" w:firstLine="408"/>
        <w:spacing w:after="0" w:line="282" w:lineRule="auto"/>
        <w:tabs>
          <w:tab w:leader="none" w:pos="16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Holders of Notes are entitled to convert the Notes (to the extent such conversion rights are provided for in the Indenture) only into the cash Reference Property.</w:t>
      </w:r>
    </w:p>
    <w:p>
      <w:pPr>
        <w:spacing w:after="0" w:line="53" w:lineRule="exact"/>
        <w:rPr>
          <w:rFonts w:ascii="Times New Roman" w:cs="Times New Roman" w:eastAsia="Times New Roman" w:hAnsi="Times New Roman"/>
          <w:sz w:val="18"/>
          <w:szCs w:val="18"/>
          <w:color w:val="auto"/>
        </w:rPr>
      </w:pPr>
    </w:p>
    <w:p>
      <w:pPr>
        <w:ind w:left="984" w:right="40" w:firstLine="408"/>
        <w:spacing w:after="0" w:line="282" w:lineRule="auto"/>
        <w:tabs>
          <w:tab w:leader="none" w:pos="16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Indenture, as modified herein, shall continue to apply, mutatis mutandis, to the Holders’ right to convert the Notes into the Reference Property.</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3.01 Severability</w:t>
      </w:r>
      <w:r>
        <w:rPr>
          <w:rFonts w:ascii="Times New Roman" w:cs="Times New Roman" w:eastAsia="Times New Roman" w:hAnsi="Times New Roman"/>
          <w:sz w:val="17"/>
          <w:szCs w:val="17"/>
          <w:color w:val="auto"/>
        </w:rPr>
        <w:t>. In the event any provision of this First Supplemental Indenture or in the Notes shall be invalid, illegal or unenforceable, then (to the extent permitted by law) the validity, legality or enforceability of the remaining provisions shall not in any way be affected or impaired.</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3.02 Modification, Amendment and Waiver</w:t>
      </w:r>
      <w:r>
        <w:rPr>
          <w:rFonts w:ascii="Times New Roman" w:cs="Times New Roman" w:eastAsia="Times New Roman" w:hAnsi="Times New Roman"/>
          <w:sz w:val="18"/>
          <w:szCs w:val="18"/>
          <w:color w:val="auto"/>
        </w:rPr>
        <w:t>. The provisions of this First Supplemental Indenture may not be amended, supplemented, modified or waived, unless otherwise provided in the Indenture, except by the execution of a supplemental indenture in compliance with Article 10 of the Indenture.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3.03 Ratification of Indenture; First Supplemental Indenture Part of the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In the event of a conflict between the terms and conditions of the Indenture and the terms and conditions of this First Supplemental Indenture, then the terms and conditions of the Indenture shall prevail. This First Supplemental Indenture shall form a part of the Indenture for all purposes, and every Holder heretofore or hereafter authenticated and delivered shall be bound hereby. The First Supplemental Indenture shall become effective simultaneously with the Effective Time.</w:t>
      </w:r>
    </w:p>
    <w:p>
      <w:pPr>
        <w:spacing w:after="0" w:line="18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3.04 Governing Law</w:t>
      </w:r>
      <w:r>
        <w:rPr>
          <w:rFonts w:ascii="Times New Roman" w:cs="Times New Roman" w:eastAsia="Times New Roman" w:hAnsi="Times New Roman"/>
          <w:sz w:val="18"/>
          <w:szCs w:val="18"/>
          <w:color w:val="auto"/>
        </w:rPr>
        <w:t>. THIS FIRST SUPPLEMENTAL INDENTURE AND THE NOTES, AND ANY CLAIM, CONTROVERSY OR DISPUTE ARISING UNDER OR RELATED TO THIS FIRST SUPPLEMENTAL INDENTURE AND THE NOTES, WILL BE GOVERNED BY AND CONSTRUED IN ACCORDANCE WITH THE LAWS OF THE STATE OF NEW YORK.</w:t>
      </w:r>
    </w:p>
    <w:p>
      <w:pPr>
        <w:spacing w:after="0" w:line="176"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3.05 Trustee Makes No Representation</w:t>
      </w:r>
      <w:r>
        <w:rPr>
          <w:rFonts w:ascii="Times New Roman" w:cs="Times New Roman" w:eastAsia="Times New Roman" w:hAnsi="Times New Roman"/>
          <w:sz w:val="18"/>
          <w:szCs w:val="18"/>
          <w:color w:val="auto"/>
        </w:rPr>
        <w:t>. The Trustee makes no representations as to the validity or sufficiency of this First Supplemental Indenture. The recitals and statements contained in this First Supplemental Indenture shall be taken as the statements of the Company, and the Trustee assumes no responsibility for the correctness of the same. The Trustee is not charged with any knowledge of the Merger Agreement or any of the terms thereof.</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3.06 Multiple Counterparts</w:t>
      </w:r>
      <w:r>
        <w:rPr>
          <w:rFonts w:ascii="Times New Roman" w:cs="Times New Roman" w:eastAsia="Times New Roman" w:hAnsi="Times New Roman"/>
          <w:sz w:val="18"/>
          <w:szCs w:val="18"/>
          <w:color w:val="auto"/>
        </w:rPr>
        <w:t>. This First Supplemental Indenture may be executed in any number of counterparts, each of which shall be an original, but such counterparts shall together constitute but one and the same instrument. The exchange of copies of this First Supplemental Indenture and of signature pages by facsimile, PDF or other electronic transmission shall constitute effective execution and delivery of this First Supplemental Indenture as to the parties hereto and may be used in lieu of the original First Supplemental Indenture for all purposes. Signatures of the parties hereto transmitted by facsimile, PDF or other electronic transmission shall be deemed to be their original signatures for all purposes.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3.07 Headings</w:t>
      </w:r>
      <w:r>
        <w:rPr>
          <w:rFonts w:ascii="Times New Roman" w:cs="Times New Roman" w:eastAsia="Times New Roman" w:hAnsi="Times New Roman"/>
          <w:sz w:val="18"/>
          <w:szCs w:val="18"/>
          <w:color w:val="auto"/>
        </w:rPr>
        <w:t>. The titles and headings of the articles and sections of this First Supplemental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3.08 Successors</w:t>
      </w:r>
      <w:r>
        <w:rPr>
          <w:rFonts w:ascii="Times New Roman" w:cs="Times New Roman" w:eastAsia="Times New Roman" w:hAnsi="Times New Roman"/>
          <w:sz w:val="18"/>
          <w:szCs w:val="18"/>
          <w:color w:val="auto"/>
        </w:rPr>
        <w:t>. All agreements of the Company in this First Supplemental Indenture shall bind its successors. All agreements of the Trustee in this First Supplemental Indenture shall bind its successors.</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3.09 No Security Interest Created</w:t>
      </w:r>
      <w:r>
        <w:rPr>
          <w:rFonts w:ascii="Times New Roman" w:cs="Times New Roman" w:eastAsia="Times New Roman" w:hAnsi="Times New Roman"/>
          <w:sz w:val="17"/>
          <w:szCs w:val="17"/>
          <w:color w:val="auto"/>
        </w:rPr>
        <w:t>. Nothing in this First Supplemental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3.10 Benefits of Indenture</w:t>
      </w:r>
      <w:r>
        <w:rPr>
          <w:rFonts w:ascii="Times New Roman" w:cs="Times New Roman" w:eastAsia="Times New Roman" w:hAnsi="Times New Roman"/>
          <w:sz w:val="18"/>
          <w:szCs w:val="18"/>
          <w:color w:val="auto"/>
        </w:rPr>
        <w:t>. Nothing in this First Supplemental Indenture or in the Notes, expressed or implied, shall give to any Person, other than the Holders, the parties hereto, any Paying Agent, any Conversion Agent, any authenticating agent, any Registrar and their respective successors hereunder, any benefit or any legal or equitable right, remedy or claim under this First Supplemental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hereunto set their hands as of the date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Peter Lau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Signature Page to First Supplemental Indenture</w:t>
      </w:r>
    </w:p>
    <w:p>
      <w:pPr>
        <w:sectPr>
          <w:pgSz w:w="11900" w:h="16838" w:orient="portrait"/>
          <w:cols w:equalWidth="0" w:num="1">
            <w:col w:w="10019"/>
          </w:cols>
          <w:pgMar w:left="440" w:top="266" w:right="1440"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 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i w:val="1"/>
          <w:iCs w:val="1"/>
          <w:color w:val="auto"/>
        </w:rPr>
        <w:t>Signature Page to First Supplemental Indenture</w:t>
      </w:r>
    </w:p>
    <w:sectPr>
      <w:pgSz w:w="11900" w:h="16838" w:orient="portrait"/>
      <w:cols w:equalWidth="0" w:num="1">
        <w:col w:w="9140"/>
      </w:cols>
      <w:pgMar w:left="1440" w:top="266"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2025-07-25T05:10:33Z</dcterms:created>
  <dcterms:modified xsi:type="dcterms:W3CDTF">2025-07-25T05:10:33Z</dcterms:modified>
</cp:coreProperties>
</file>