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Faro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311642102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J. Snyderman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1603 Orrington Avenue, 13th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Evanston, IL, 60201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847-905-4400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311642102</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Magnetar Financial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311642102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Magnetar Capital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311642102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Supernova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311642102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J. Snyderman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par value $.001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Faro Technologies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125 Technology Park, Lake Mary, FLORIDA , 32746.</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20"/>
        <w:spacing w:after="0" w:line="247" w:lineRule="auto"/>
        <w:rPr>
          <w:sz w:val="20"/>
          <w:szCs w:val="20"/>
          <w:color w:val="auto"/>
        </w:rPr>
      </w:pPr>
      <w:r>
        <w:rPr>
          <w:rFonts w:ascii="Times New Roman" w:cs="Times New Roman" w:eastAsia="Times New Roman" w:hAnsi="Times New Roman"/>
          <w:sz w:val="21"/>
          <w:szCs w:val="21"/>
          <w:color w:val="auto"/>
        </w:rPr>
        <w:t>The persons filing this Statement are Magnetar Financial LLC, a Delaware limited liability company ("Magnetar Financial"), Magnetar Capital Partners LP, a Delaware limited partnership ("Magnetar Capital Partners"), Supernova Management LLC, a Delaware limited liability company ("Supernova Management"), and David J. Snyderman ("Mr. Snyderman") (collectively, the "Reporting Persons"). This Statement relates to Shares held for the accounts of each of</w:t>
      </w:r>
    </w:p>
    <w:p>
      <w:pPr>
        <w:spacing w:after="0" w:line="2" w:lineRule="exact"/>
        <w:rPr>
          <w:sz w:val="20"/>
          <w:szCs w:val="20"/>
          <w:color w:val="auto"/>
        </w:rPr>
      </w:pPr>
    </w:p>
    <w:p>
      <w:pPr>
        <w:ind w:left="940" w:right="40"/>
        <w:spacing w:after="0" w:line="241" w:lineRule="auto"/>
        <w:rPr>
          <w:sz w:val="20"/>
          <w:szCs w:val="20"/>
          <w:color w:val="auto"/>
        </w:rPr>
      </w:pPr>
      <w:r>
        <w:rPr>
          <w:rFonts w:ascii="Times New Roman" w:cs="Times New Roman" w:eastAsia="Times New Roman" w:hAnsi="Times New Roman"/>
          <w:sz w:val="21"/>
          <w:szCs w:val="21"/>
          <w:color w:val="auto"/>
        </w:rPr>
        <w:t>(i) Magnetar PRA Master Fund Ltd ("PRA Master Fund"); (ii) Magnetar Systematic Multi-Strategy Master Fund Ltd, ("Systematic Master Fund"); (iii) Magnetar Relative Value Master Fund Ltd, ("Relative Value Master Fund"); all Cayman Islands exempted companies and (iv) two Managed Account for the client of Magnetar Asset Management</w:t>
      </w:r>
    </w:p>
    <w:p>
      <w:pPr>
        <w:spacing w:after="0" w:line="1" w:lineRule="exact"/>
        <w:rPr>
          <w:sz w:val="20"/>
          <w:szCs w:val="20"/>
          <w:color w:val="auto"/>
        </w:rPr>
      </w:pPr>
    </w:p>
    <w:p>
      <w:pPr>
        <w:ind w:left="940" w:right="120" w:hanging="932"/>
        <w:spacing w:after="0" w:line="218"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LLC ("the Managed Account"), collectively (the "Funds"). Magnetar Financial is a Securities and Exchange Commission ("SEC") registered investment adviser under Section 203 of the Investment Advisers Act of 1940, as amended, and manager of investment funds and managed accounts. Magnetar Financial serves as investment adviser to each of the Funds. In such capacity, Magnetar Financial exercises voting and investment power over the Shares held for the accounts of each of the Funds. Magnetar Capital Partners serves as the sole member and parent holding company of Magnetar Financial. Supernova Management is the general partner of Magnetar Capital Partners. The manager of Supernova Management is Mr. Snyderman. Magnetar Asset Management LLC ("Magnetar Asset Management") is an SEC registered investment adviser and an affiliate of Magnetar Financial. Magnetar Capital Partners serves as the sole member and parent holding company of Magnetar Asset Management.</w:t>
      </w:r>
    </w:p>
    <w:p>
      <w:pPr>
        <w:spacing w:after="0" w:line="23" w:lineRule="exact"/>
        <w:rPr>
          <w:rFonts w:ascii="Times New Roman" w:cs="Times New Roman" w:eastAsia="Times New Roman" w:hAnsi="Times New Roman"/>
          <w:sz w:val="42"/>
          <w:szCs w:val="42"/>
          <w:color w:val="auto"/>
          <w:vertAlign w:val="subscript"/>
        </w:rPr>
      </w:pPr>
    </w:p>
    <w:p>
      <w:pPr>
        <w:ind w:left="940" w:right="560" w:hanging="932"/>
        <w:spacing w:after="0"/>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of each of the Reporting Persons is 1603 Orrington Avenue, 13th Floor, Evanston, Illinois 60201.</w:t>
      </w:r>
    </w:p>
    <w:p>
      <w:pPr>
        <w:spacing w:after="0" w:line="91" w:lineRule="exact"/>
        <w:rPr>
          <w:rFonts w:ascii="Times New Roman" w:cs="Times New Roman" w:eastAsia="Times New Roman" w:hAnsi="Times New Roman"/>
          <w:sz w:val="39"/>
          <w:szCs w:val="39"/>
          <w:color w:val="auto"/>
          <w:vertAlign w:val="subscript"/>
        </w:rPr>
      </w:pPr>
    </w:p>
    <w:p>
      <w:pPr>
        <w:ind w:left="940" w:right="40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Each of the Funds is a private investment fund; Magnetar Financial is a privately-held SEC registered investment adviser and manager of investment funds and managed accounts; Magnetar Capital Partners is a privately-held</w:t>
      </w:r>
    </w:p>
    <w:p>
      <w:pPr>
        <w:ind w:left="940" w:hanging="932"/>
        <w:spacing w:after="0" w:line="189" w:lineRule="auto"/>
        <w:tabs>
          <w:tab w:leader="none" w:pos="94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limited partnership and serves as the sole member and parent holding company of Magnetar Financial; Supernova Management is a privately-held limited liability company and is the general partner of Magnetar Capital Partners; and Mr. Snyderman is a citizen of the United States of America, manager of Supernova Management and Chief Executive Officer of Magnetar Financial.</w:t>
      </w:r>
    </w:p>
    <w:p>
      <w:pPr>
        <w:spacing w:after="0" w:line="14" w:lineRule="exact"/>
        <w:rPr>
          <w:rFonts w:ascii="Times New Roman" w:cs="Times New Roman" w:eastAsia="Times New Roman" w:hAnsi="Times New Roman"/>
          <w:sz w:val="43"/>
          <w:szCs w:val="43"/>
          <w:color w:val="auto"/>
          <w:vertAlign w:val="subscript"/>
        </w:rPr>
      </w:pPr>
    </w:p>
    <w:p>
      <w:pPr>
        <w:ind w:left="940" w:right="40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has,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as a result of which such Reporting Person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Magnetar Financial is a Delaware limited liability company. Magnetar Capital Partners is a Delaware limited</w:t>
      </w:r>
    </w:p>
    <w:p>
      <w:pPr>
        <w:spacing w:after="0" w:line="14" w:lineRule="exact"/>
        <w:rPr>
          <w:rFonts w:ascii="Times New Roman" w:cs="Times New Roman" w:eastAsia="Times New Roman" w:hAnsi="Times New Roman"/>
          <w:sz w:val="42"/>
          <w:szCs w:val="42"/>
          <w:color w:val="auto"/>
          <w:vertAlign w:val="subscript"/>
        </w:rPr>
      </w:pPr>
    </w:p>
    <w:p>
      <w:pPr>
        <w:ind w:left="940" w:right="580" w:hanging="932"/>
        <w:spacing w:after="0" w:line="237"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 Supernova Management is a Delaware limited liability company. Mr. Snyderman is a citizen of the United States of America.</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ectPr>
          <w:pgSz w:w="11900" w:h="16838" w:orient="portrait"/>
          <w:cols w:equalWidth="0" w:num="1">
            <w:col w:w="11140"/>
          </w:cols>
          <w:pgMar w:left="360" w:top="11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Since the filing of the Schedule 13D on May 14, 2025, on July 22, 2025, the Issuer consummated a merger (the "Merger") pursuant to which each issued and outstanding Share was cancelled and converted into the right to receive $44.00 in cash, without interest. In connection with the Merger, the Reporting Persons' 1,483,329 Shares, which consisted of 712,544 Shares sold for the benefit of PRA Master Fund; 338,886 Shares sold for the benefit of Systematic Master Fund; 88,061 Shares sold for the benefit of the Relative Value Master Fund and 343,838 Shares sold for the benefit of two Managed Accounts, were cancelled and converted into the right to receive $44.00 in cash, without interest.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in Securities of the Issuer</w:t>
      </w:r>
    </w:p>
    <w:p>
      <w:pPr>
        <w:spacing w:after="0" w:line="44" w:lineRule="exact"/>
        <w:rPr>
          <w:sz w:val="20"/>
          <w:szCs w:val="20"/>
          <w:color w:val="auto"/>
        </w:rPr>
      </w:pPr>
    </w:p>
    <w:p>
      <w:pPr>
        <w:ind w:right="540"/>
        <w:spacing w:after="0" w:line="249" w:lineRule="auto"/>
        <w:rPr>
          <w:sz w:val="20"/>
          <w:szCs w:val="20"/>
          <w:color w:val="auto"/>
        </w:rPr>
      </w:pPr>
      <w:r>
        <w:rPr>
          <w:rFonts w:ascii="Times New Roman" w:cs="Times New Roman" w:eastAsia="Times New Roman" w:hAnsi="Times New Roman"/>
          <w:sz w:val="22"/>
          <w:szCs w:val="22"/>
          <w:color w:val="auto"/>
        </w:rPr>
        <w:t>As of the closing of the Merger on July 22, 2025, each of the Reporting Persons may have been deemed to have beneficial ownership of 0 Shares.</w:t>
      </w:r>
    </w:p>
    <w:p>
      <w:pPr>
        <w:spacing w:after="0" w:line="15" w:lineRule="exact"/>
        <w:rPr>
          <w:sz w:val="20"/>
          <w:szCs w:val="20"/>
          <w:color w:val="auto"/>
        </w:rPr>
      </w:pPr>
    </w:p>
    <w:p>
      <w:pPr>
        <w:sectPr>
          <w:pgSz w:w="11900" w:h="16838" w:orient="portrait"/>
          <w:cols w:equalWidth="0" w:num="2">
            <w:col w:w="620" w:space="320"/>
            <w:col w:w="10200"/>
          </w:cols>
          <w:pgMar w:left="360" w:top="110" w:right="399" w:bottom="0" w:gutter="0" w:footer="0" w:header="0"/>
          <w:type w:val="continuous"/>
        </w:sectPr>
      </w:pPr>
    </w:p>
    <w:p>
      <w:pPr>
        <w:ind w:left="940" w:right="18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the closing of the Merger on July 22, 2025, each of the Reporting Persons may have been deemed to share the power to vote and direct the disposition of 0 Shares, which represented beneficial ownership of 0% of the Shares.</w:t>
      </w:r>
    </w:p>
    <w:p>
      <w:pPr>
        <w:sectPr>
          <w:pgSz w:w="11900" w:h="16838" w:orient="portrait"/>
          <w:cols w:equalWidth="0" w:num="1">
            <w:col w:w="11140"/>
          </w:cols>
          <w:pgMar w:left="360" w:top="110" w:right="399" w:bottom="0" w:gutter="0" w:footer="0" w:header="0"/>
          <w:type w:val="continuous"/>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22"/>
          <w:szCs w:val="22"/>
          <w:color w:val="auto"/>
        </w:rPr>
        <w:t>The response to Item 4 of this Amendment No. 1 is incorporated herein by reference. Except as set forth in Item 4 of this Amendment No. 1, the Funds had no transactions in the Shares in the past 60 days.</w:t>
      </w: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ectPr>
          <w:pgSz w:w="11900" w:h="16838" w:orient="portrait"/>
          <w:cols w:equalWidth="0" w:num="2">
            <w:col w:w="620" w:space="320"/>
            <w:col w:w="10200"/>
          </w:cols>
          <w:pgMar w:left="360" w:top="110" w:right="399" w:bottom="0" w:gutter="0" w:footer="0" w:header="0"/>
          <w:type w:val="continuous"/>
        </w:sectPr>
      </w:pPr>
    </w:p>
    <w:bookmarkStart w:id="5" w:name="page6"/>
    <w:bookmarkEnd w:id="5"/>
    <w:p>
      <w:pPr>
        <w:ind w:left="940" w:right="400"/>
        <w:spacing w:after="0" w:line="238" w:lineRule="auto"/>
        <w:rPr>
          <w:sz w:val="20"/>
          <w:szCs w:val="20"/>
          <w:color w:val="auto"/>
        </w:rPr>
      </w:pPr>
      <w:r>
        <w:rPr>
          <w:rFonts w:ascii="Times New Roman" w:cs="Times New Roman" w:eastAsia="Times New Roman" w:hAnsi="Times New Roman"/>
          <w:sz w:val="22"/>
          <w:szCs w:val="22"/>
          <w:color w:val="auto"/>
        </w:rPr>
        <w:t>Pursuant to Rule 13d-1(k)(1) promulgated under the Securities Exchange Act of 1934, as amended, the Reporting Persons have entered into an agreement with respect to the joint filing of this Statement, and any amendment or amendments hereto. Except as otherwise described herein, no contracts, arrangements, understandings or similar relationships exist with respect to the securities of the Company among or between the Reporting Persons or any other person or entity.</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40"/>
        <w:spacing w:after="0" w:line="258" w:lineRule="auto"/>
        <w:rPr>
          <w:sz w:val="20"/>
          <w:szCs w:val="20"/>
          <w:color w:val="auto"/>
        </w:rPr>
      </w:pPr>
      <w:r>
        <w:rPr>
          <w:rFonts w:ascii="Times New Roman" w:cs="Times New Roman" w:eastAsia="Times New Roman" w:hAnsi="Times New Roman"/>
          <w:sz w:val="22"/>
          <w:szCs w:val="22"/>
          <w:color w:val="auto"/>
        </w:rPr>
        <w:t>99.1 Joint Filing Agreement, dated as of July 24, 2025, among the Reporting Persons. 99.2 Power of Attorney, dated as of December 22, 2022 filed by the Reporting Persons on July 24,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Magnetar Financial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Hayley Stein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Hayley Stein, Title: Attorney-in-fact for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David J. Snyderman, Manager of Supernova</w:t>
      </w:r>
    </w:p>
    <w:p>
      <w:pPr>
        <w:ind w:left="6740"/>
        <w:spacing w:after="0"/>
        <w:rPr>
          <w:sz w:val="20"/>
          <w:szCs w:val="20"/>
          <w:color w:val="auto"/>
        </w:rPr>
      </w:pPr>
      <w:r>
        <w:rPr>
          <w:rFonts w:ascii="Times New Roman" w:cs="Times New Roman" w:eastAsia="Times New Roman" w:hAnsi="Times New Roman"/>
          <w:sz w:val="22"/>
          <w:szCs w:val="22"/>
          <w:color w:val="auto"/>
        </w:rPr>
        <w:t>Management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Magnetar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Hayley Stein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Hayley Stein, Title: Attorney-in-fact for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David J. Snyderman, Manager of Supernova</w:t>
      </w:r>
    </w:p>
    <w:p>
      <w:pPr>
        <w:ind w:left="6740"/>
        <w:spacing w:after="0"/>
        <w:rPr>
          <w:sz w:val="20"/>
          <w:szCs w:val="20"/>
          <w:color w:val="auto"/>
        </w:rPr>
      </w:pPr>
      <w:r>
        <w:rPr>
          <w:rFonts w:ascii="Times New Roman" w:cs="Times New Roman" w:eastAsia="Times New Roman" w:hAnsi="Times New Roman"/>
          <w:sz w:val="22"/>
          <w:szCs w:val="22"/>
          <w:color w:val="auto"/>
        </w:rPr>
        <w:t>Management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Supernova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Hayley Stein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Hayley Stein, Title: Attorney-in-fact for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David J. Snyderman, Manager of Supernova</w:t>
      </w:r>
    </w:p>
    <w:p>
      <w:pPr>
        <w:ind w:left="6740"/>
        <w:spacing w:after="0"/>
        <w:rPr>
          <w:sz w:val="20"/>
          <w:szCs w:val="20"/>
          <w:color w:val="auto"/>
        </w:rPr>
      </w:pPr>
      <w:r>
        <w:rPr>
          <w:rFonts w:ascii="Times New Roman" w:cs="Times New Roman" w:eastAsia="Times New Roman" w:hAnsi="Times New Roman"/>
          <w:sz w:val="22"/>
          <w:szCs w:val="22"/>
          <w:color w:val="auto"/>
        </w:rPr>
        <w:t>Management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David J. Snyderman</w:t>
      </w:r>
    </w:p>
    <w:p>
      <w:pPr>
        <w:sectPr>
          <w:pgSz w:w="11900" w:h="16838" w:orient="portrait"/>
          <w:cols w:equalWidth="0" w:num="1">
            <w:col w:w="11160"/>
          </w:cols>
          <w:pgMar w:left="360" w:top="1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Hayley Stein</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 Hayley Stein, Title: Attorney-in-fact for</w:t>
      </w:r>
    </w:p>
    <w:p>
      <w:pPr>
        <w:spacing w:after="0" w:line="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David J. Snyderman, Manager of Supernova</w:t>
      </w:r>
    </w:p>
    <w:p>
      <w:pPr>
        <w:ind w:left="5240"/>
        <w:spacing w:after="0"/>
        <w:rPr>
          <w:sz w:val="20"/>
          <w:szCs w:val="20"/>
          <w:color w:val="auto"/>
        </w:rPr>
      </w:pPr>
      <w:r>
        <w:rPr>
          <w:rFonts w:ascii="Times New Roman" w:cs="Times New Roman" w:eastAsia="Times New Roman" w:hAnsi="Times New Roman"/>
          <w:sz w:val="22"/>
          <w:szCs w:val="22"/>
          <w:color w:val="auto"/>
        </w:rPr>
        <w:t>Management LLC</w:t>
      </w:r>
    </w:p>
    <w:p>
      <w:pPr>
        <w:spacing w:after="0" w:line="20"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MAGNETAR FINANCIAL LLC BY: Magnetar Capital Partners LP, its Sole Member BY: Supernova Management LLC, its General Partner MAGNETAR CAPITAL PARTNERS LP By: Supernova Management LLC, its General Partner</w:t>
      </w:r>
    </w:p>
    <w:p>
      <w:pPr>
        <w:sectPr>
          <w:pgSz w:w="11900" w:h="16838" w:orient="portrait"/>
          <w:cols w:equalWidth="0" w:num="2">
            <w:col w:w="1200" w:space="300"/>
            <w:col w:w="9660"/>
          </w:cols>
          <w:pgMar w:left="360" w:top="111" w:right="37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13D with respect to the Shares of Faro Technologies, Inc. dated as of July 24, 2025 is, and any amendments thereto (including amendments on Schedule 13D) signed by each of the undersigned shall be, filed on behalf of each of us pursuant to and in accordance with the previsions of Rule13d-1(k) under the Securities Exchange Act of 1934, as amended.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2025</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MAGNETAR FINANCIAL LLC</w:t>
            </w:r>
          </w:p>
        </w:tc>
      </w:tr>
      <w:tr>
        <w:trPr>
          <w:trHeight w:val="432"/>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Magnetar Capital Partners LP, its Sole Member</w:t>
            </w:r>
          </w:p>
        </w:tc>
      </w:tr>
      <w:tr>
        <w:trPr>
          <w:trHeight w:val="432"/>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Hayley Stein</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Hayley Stein</w:t>
            </w:r>
          </w:p>
        </w:tc>
      </w:tr>
      <w:tr>
        <w:trPr>
          <w:trHeight w:val="216"/>
        </w:trPr>
        <w:tc>
          <w:tcPr>
            <w:tcW w:w="3520" w:type="dxa"/>
            <w:vAlign w:val="bottom"/>
          </w:tcPr>
          <w:p>
            <w:pPr>
              <w:spacing w:after="0"/>
              <w:rPr>
                <w:sz w:val="18"/>
                <w:szCs w:val="18"/>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David J. Snyderman, Manager of Supernova</w:t>
            </w:r>
          </w:p>
        </w:tc>
      </w:tr>
      <w:tr>
        <w:trPr>
          <w:trHeight w:val="234"/>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LLC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2025</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MAGNETAR CAPITAL PARTNERS LP</w:t>
            </w:r>
          </w:p>
        </w:tc>
      </w:tr>
      <w:tr>
        <w:trPr>
          <w:trHeight w:val="432"/>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Supernova Management LLC, its General Partner</w:t>
            </w:r>
          </w:p>
        </w:tc>
      </w:tr>
      <w:tr>
        <w:trPr>
          <w:trHeight w:val="432"/>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Hayley Stein</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Hayley Stein</w:t>
            </w:r>
          </w:p>
        </w:tc>
      </w:tr>
      <w:tr>
        <w:trPr>
          <w:trHeight w:val="216"/>
        </w:trPr>
        <w:tc>
          <w:tcPr>
            <w:tcW w:w="3520" w:type="dxa"/>
            <w:vAlign w:val="bottom"/>
          </w:tcPr>
          <w:p>
            <w:pPr>
              <w:spacing w:after="0"/>
              <w:rPr>
                <w:sz w:val="18"/>
                <w:szCs w:val="18"/>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David J. Snyderman, Manager of Supernova</w:t>
            </w:r>
          </w:p>
        </w:tc>
      </w:tr>
      <w:tr>
        <w:trPr>
          <w:trHeight w:val="234"/>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LLC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2025</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SUPERNOVA MANAGEMENT LLC</w:t>
            </w:r>
          </w:p>
        </w:tc>
      </w:tr>
      <w:tr>
        <w:trPr>
          <w:trHeight w:val="432"/>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Hayley Stein</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Hayley Stein</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David J. Snyderman, Manager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2025</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DAVID J. SNYDERMAN</w:t>
            </w:r>
          </w:p>
        </w:tc>
      </w:tr>
      <w:tr>
        <w:trPr>
          <w:trHeight w:val="432"/>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Hayley Stein</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Hayley Stein</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David J. Snyderman</w:t>
            </w:r>
          </w:p>
        </w:tc>
      </w:tr>
      <w:tr>
        <w:trPr>
          <w:trHeight w:val="67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LIMITED POWER OF ATTORNEY</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Know all by these present, that I, </w:t>
      </w:r>
      <w:r>
        <w:rPr>
          <w:rFonts w:ascii="Times New Roman" w:cs="Times New Roman" w:eastAsia="Times New Roman" w:hAnsi="Times New Roman"/>
          <w:sz w:val="18"/>
          <w:szCs w:val="18"/>
          <w:u w:val="single" w:color="auto"/>
          <w:color w:val="auto"/>
        </w:rPr>
        <w:t>David J. Snyderman</w:t>
      </w:r>
      <w:r>
        <w:rPr>
          <w:rFonts w:ascii="Times New Roman" w:cs="Times New Roman" w:eastAsia="Times New Roman" w:hAnsi="Times New Roman"/>
          <w:sz w:val="18"/>
          <w:szCs w:val="18"/>
          <w:color w:val="auto"/>
        </w:rPr>
        <w:t xml:space="preserve">, hereby make, constitute and appoint each of </w:t>
      </w:r>
      <w:r>
        <w:rPr>
          <w:rFonts w:ascii="Times New Roman" w:cs="Times New Roman" w:eastAsia="Times New Roman" w:hAnsi="Times New Roman"/>
          <w:sz w:val="18"/>
          <w:szCs w:val="18"/>
          <w:u w:val="single" w:color="auto"/>
          <w:color w:val="auto"/>
        </w:rPr>
        <w:t>Michael Turro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Karl Wachter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Hayley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Stein</w:t>
      </w:r>
      <w:r>
        <w:rPr>
          <w:rFonts w:ascii="Times New Roman" w:cs="Times New Roman" w:eastAsia="Times New Roman" w:hAnsi="Times New Roman"/>
          <w:sz w:val="18"/>
          <w:szCs w:val="18"/>
          <w:color w:val="auto"/>
        </w:rPr>
        <w:t xml:space="preserve">, or any of them acting individually, and with full power of substitution, as my true and lawful attorney-in-fact for the purpose of executing in my name, (a) in my personal capacity or (b) in my capacity as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xml:space="preserve"> or in other capacities of </w:t>
      </w:r>
      <w:r>
        <w:rPr>
          <w:rFonts w:ascii="Times New Roman" w:cs="Times New Roman" w:eastAsia="Times New Roman" w:hAnsi="Times New Roman"/>
          <w:sz w:val="18"/>
          <w:szCs w:val="18"/>
          <w:u w:val="single" w:color="auto"/>
          <w:color w:val="auto"/>
        </w:rPr>
        <w:t>Supernova Management LLC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Delaware limited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its affiliates or entities advised or controlled by me or </w:t>
      </w:r>
      <w:r>
        <w:rPr>
          <w:rFonts w:ascii="Times New Roman" w:cs="Times New Roman" w:eastAsia="Times New Roman" w:hAnsi="Times New Roman"/>
          <w:sz w:val="18"/>
          <w:szCs w:val="18"/>
          <w:u w:val="single" w:color="auto"/>
          <w:color w:val="auto"/>
        </w:rPr>
        <w:t>Supernova Management LLC</w:t>
      </w:r>
      <w:r>
        <w:rPr>
          <w:rFonts w:ascii="Times New Roman" w:cs="Times New Roman" w:eastAsia="Times New Roman" w:hAnsi="Times New Roman"/>
          <w:sz w:val="18"/>
          <w:szCs w:val="18"/>
          <w:color w:val="auto"/>
        </w:rPr>
        <w:t>, all documents, certificates, instruments, statements, filings and agreements (“documents”) to be filed with or delivered to the United States Securities and Exchange Commission (the “SEC”) pursuant to the Securities and Exchange Act of 1934, as amended (the “Act”), and the rules and regulations promulgated thereunder, including, without limitation,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under the Act, and (c) any initial statements of, or statements of changes in, beneficial ownership of securities on Form 3, Form 4 or Form 5.</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past acts of the attorney-in-fact in furtherance of the foregoing are hereby ratified and confirmed.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1F1F1F"/>
        </w:rPr>
        <w:t>This Power of Attorney shall remain in full force and effect until the earlier of it being (a) revoked by the undersigned in a signed writing delivered to the foregoing attorney-in-fact or (b) superseded by a new power of attorney regarding the purposes outlined herein as of a later date</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1F1F1F"/>
        </w:rPr>
        <w:t>IN WITNESS WHEREOF, the undersigned has caused this Power of Attorney to be executed as of this 22 day of December, 2022.</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J. Snyderman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J. Snyderman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2025-07-24T07:31:10Z</dcterms:created>
  <dcterms:modified xsi:type="dcterms:W3CDTF">2025-07-24T07:31:10Z</dcterms:modified>
</cp:coreProperties>
</file>